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5FA" w:rsidRPr="003616B8" w:rsidRDefault="003616B8" w:rsidP="003616B8">
      <w:pPr>
        <w:jc w:val="center"/>
        <w:rPr>
          <w:rFonts w:ascii="Tahoma" w:hAnsi="Tahoma" w:cs="Tahoma"/>
          <w:b/>
          <w:lang w:val="en-CA"/>
        </w:rPr>
      </w:pPr>
      <w:bookmarkStart w:id="0" w:name="_GoBack"/>
      <w:bookmarkEnd w:id="0"/>
      <w:r w:rsidRPr="003616B8">
        <w:rPr>
          <w:rFonts w:ascii="Tahoma" w:hAnsi="Tahoma" w:cs="Tahoma"/>
          <w:b/>
          <w:lang w:val="en-CA"/>
        </w:rPr>
        <w:t>Chapter 3. The Accounting Information System</w:t>
      </w:r>
    </w:p>
    <w:p w:rsidR="003616B8" w:rsidRDefault="003616B8">
      <w:pPr>
        <w:rPr>
          <w:lang w:val="en-CA"/>
        </w:rPr>
      </w:pPr>
    </w:p>
    <w:p w:rsidR="003616B8" w:rsidRDefault="003616B8" w:rsidP="007617B6">
      <w:pPr>
        <w:jc w:val="both"/>
        <w:rPr>
          <w:lang w:val="en-CA"/>
        </w:rPr>
      </w:pPr>
      <w:r>
        <w:rPr>
          <w:lang w:val="en-CA"/>
        </w:rPr>
        <w:t>-remember the mechanics of bookkeeping</w:t>
      </w:r>
      <w:r w:rsidR="007617B6">
        <w:rPr>
          <w:lang w:val="en-CA"/>
        </w:rPr>
        <w:t>: double-entry accounting, balance sheet equation, debit, credit</w:t>
      </w:r>
    </w:p>
    <w:p w:rsidR="003616B8" w:rsidRDefault="003616B8">
      <w:pPr>
        <w:rPr>
          <w:lang w:val="en-CA"/>
        </w:rPr>
      </w:pPr>
      <w:r>
        <w:rPr>
          <w:lang w:val="en-CA"/>
        </w:rPr>
        <w:t>-accounting cycle: journalizing, posting, adjusting, closing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616B8" w:rsidRPr="003616B8" w:rsidTr="003616B8">
        <w:tc>
          <w:tcPr>
            <w:tcW w:w="9350" w:type="dxa"/>
          </w:tcPr>
          <w:p w:rsidR="003616B8" w:rsidRPr="003616B8" w:rsidRDefault="003616B8" w:rsidP="003616B8">
            <w:pPr>
              <w:rPr>
                <w:b/>
                <w:lang w:val="en-CA"/>
              </w:rPr>
            </w:pPr>
            <w:r w:rsidRPr="003616B8">
              <w:rPr>
                <w:b/>
                <w:lang w:val="en-CA"/>
              </w:rPr>
              <w:t>Vocabulary</w:t>
            </w:r>
          </w:p>
        </w:tc>
      </w:tr>
      <w:tr w:rsidR="003616B8" w:rsidRPr="003616B8" w:rsidTr="00925EFA">
        <w:trPr>
          <w:trHeight w:val="547"/>
        </w:trPr>
        <w:tc>
          <w:tcPr>
            <w:tcW w:w="9350" w:type="dxa"/>
          </w:tcPr>
          <w:p w:rsidR="003616B8" w:rsidRPr="003616B8" w:rsidRDefault="003616B8" w:rsidP="00792236">
            <w:pPr>
              <w:rPr>
                <w:lang w:val="en-CA"/>
              </w:rPr>
            </w:pPr>
            <w:r w:rsidRPr="003616B8">
              <w:rPr>
                <w:lang w:val="en-CA"/>
              </w:rPr>
              <w:t>Permanent (“real”) accounts</w:t>
            </w:r>
          </w:p>
        </w:tc>
      </w:tr>
      <w:tr w:rsidR="003616B8" w:rsidRPr="003616B8" w:rsidTr="00E61CB5">
        <w:trPr>
          <w:trHeight w:val="547"/>
        </w:trPr>
        <w:tc>
          <w:tcPr>
            <w:tcW w:w="9350" w:type="dxa"/>
          </w:tcPr>
          <w:p w:rsidR="003616B8" w:rsidRPr="003616B8" w:rsidRDefault="003616B8" w:rsidP="00792236">
            <w:pPr>
              <w:rPr>
                <w:lang w:val="en-CA"/>
              </w:rPr>
            </w:pPr>
            <w:r w:rsidRPr="003616B8">
              <w:rPr>
                <w:lang w:val="en-CA"/>
              </w:rPr>
              <w:t>Temporary (“nominal”) accounts</w:t>
            </w:r>
          </w:p>
        </w:tc>
      </w:tr>
      <w:tr w:rsidR="003616B8" w:rsidRPr="003616B8" w:rsidTr="00950F18">
        <w:trPr>
          <w:trHeight w:val="547"/>
        </w:trPr>
        <w:tc>
          <w:tcPr>
            <w:tcW w:w="9350" w:type="dxa"/>
          </w:tcPr>
          <w:p w:rsidR="003616B8" w:rsidRPr="003616B8" w:rsidRDefault="003616B8" w:rsidP="00792236">
            <w:pPr>
              <w:rPr>
                <w:lang w:val="en-CA"/>
              </w:rPr>
            </w:pPr>
            <w:r w:rsidRPr="003616B8">
              <w:rPr>
                <w:lang w:val="en-CA"/>
              </w:rPr>
              <w:t>Adjusting entries</w:t>
            </w:r>
          </w:p>
        </w:tc>
      </w:tr>
      <w:tr w:rsidR="003616B8" w:rsidRPr="003616B8" w:rsidTr="00F374D7">
        <w:trPr>
          <w:trHeight w:val="547"/>
        </w:trPr>
        <w:tc>
          <w:tcPr>
            <w:tcW w:w="9350" w:type="dxa"/>
          </w:tcPr>
          <w:p w:rsidR="003616B8" w:rsidRPr="003616B8" w:rsidRDefault="003616B8" w:rsidP="00792236">
            <w:pPr>
              <w:rPr>
                <w:lang w:val="en-CA"/>
              </w:rPr>
            </w:pPr>
            <w:r w:rsidRPr="003616B8">
              <w:rPr>
                <w:lang w:val="en-CA"/>
              </w:rPr>
              <w:t>Closing entries</w:t>
            </w:r>
          </w:p>
        </w:tc>
      </w:tr>
      <w:tr w:rsidR="003616B8" w:rsidRPr="003616B8" w:rsidTr="00D844D8">
        <w:trPr>
          <w:trHeight w:val="547"/>
        </w:trPr>
        <w:tc>
          <w:tcPr>
            <w:tcW w:w="9350" w:type="dxa"/>
          </w:tcPr>
          <w:p w:rsidR="003616B8" w:rsidRPr="003616B8" w:rsidRDefault="003616B8" w:rsidP="00792236">
            <w:pPr>
              <w:rPr>
                <w:lang w:val="en-CA"/>
              </w:rPr>
            </w:pPr>
            <w:r w:rsidRPr="003616B8">
              <w:rPr>
                <w:lang w:val="en-CA"/>
              </w:rPr>
              <w:t>Reversing entries</w:t>
            </w:r>
          </w:p>
        </w:tc>
      </w:tr>
    </w:tbl>
    <w:p w:rsidR="003616B8" w:rsidRDefault="003616B8">
      <w:pPr>
        <w:rPr>
          <w:lang w:val="en-CA"/>
        </w:rPr>
      </w:pPr>
    </w:p>
    <w:p w:rsidR="003616B8" w:rsidRPr="00AD6098" w:rsidRDefault="003616B8" w:rsidP="00AD6098">
      <w:pPr>
        <w:rPr>
          <w:b/>
          <w:u w:val="single"/>
          <w:lang w:val="en-CA"/>
        </w:rPr>
      </w:pPr>
      <w:r w:rsidRPr="00AD6098">
        <w:rPr>
          <w:b/>
          <w:u w:val="single"/>
          <w:lang w:val="en-CA"/>
        </w:rPr>
        <w:t>Adjusting entries</w:t>
      </w:r>
    </w:p>
    <w:p w:rsidR="00AD6098" w:rsidRPr="00AD6098" w:rsidRDefault="00AD6098" w:rsidP="00AD6098">
      <w:pPr>
        <w:rPr>
          <w:lang w:val="en-CA"/>
        </w:rPr>
      </w:pPr>
      <w:r w:rsidRPr="00AD6098">
        <w:rPr>
          <w:lang w:val="en-CA"/>
        </w:rPr>
        <w:t>Why are adjusting entries necessary?</w:t>
      </w:r>
    </w:p>
    <w:p w:rsidR="00AD6098" w:rsidRDefault="00AD6098" w:rsidP="00AD6098">
      <w:pPr>
        <w:rPr>
          <w:b/>
          <w:lang w:val="en-CA"/>
        </w:rPr>
      </w:pPr>
    </w:p>
    <w:p w:rsidR="00AD6098" w:rsidRDefault="00AD6098" w:rsidP="00AD6098">
      <w:pPr>
        <w:rPr>
          <w:b/>
          <w:lang w:val="en-CA"/>
        </w:rPr>
      </w:pPr>
    </w:p>
    <w:p w:rsidR="00AD6098" w:rsidRDefault="00AD6098" w:rsidP="00AD6098">
      <w:pPr>
        <w:rPr>
          <w:b/>
          <w:lang w:val="en-CA"/>
        </w:rPr>
      </w:pPr>
      <w:r>
        <w:rPr>
          <w:b/>
          <w:lang w:val="en-CA"/>
        </w:rPr>
        <w:t>ADJUSTING ENTRIES DO NOT INVOLVE RECORDING CASH!</w:t>
      </w:r>
    </w:p>
    <w:p w:rsidR="00AD6098" w:rsidRDefault="00AD6098" w:rsidP="00AD6098">
      <w:pPr>
        <w:rPr>
          <w:b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7370"/>
      </w:tblGrid>
      <w:tr w:rsidR="003616B8" w:rsidTr="003616B8">
        <w:tc>
          <w:tcPr>
            <w:tcW w:w="1980" w:type="dxa"/>
            <w:vMerge w:val="restart"/>
          </w:tcPr>
          <w:p w:rsidR="003616B8" w:rsidRDefault="003616B8" w:rsidP="003616B8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Prepayments</w:t>
            </w:r>
          </w:p>
        </w:tc>
        <w:tc>
          <w:tcPr>
            <w:tcW w:w="7370" w:type="dxa"/>
          </w:tcPr>
          <w:p w:rsidR="003616B8" w:rsidRPr="00AD6098" w:rsidRDefault="003616B8" w:rsidP="003616B8">
            <w:pPr>
              <w:rPr>
                <w:lang w:val="en-CA"/>
              </w:rPr>
            </w:pPr>
            <w:r w:rsidRPr="00AD6098">
              <w:rPr>
                <w:lang w:val="en-CA"/>
              </w:rPr>
              <w:t>Prepaid (deferred) expenses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  <w:tr w:rsidR="003616B8" w:rsidTr="003616B8">
        <w:tc>
          <w:tcPr>
            <w:tcW w:w="1980" w:type="dxa"/>
            <w:vMerge/>
          </w:tcPr>
          <w:p w:rsidR="003616B8" w:rsidRDefault="003616B8" w:rsidP="003616B8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7370" w:type="dxa"/>
          </w:tcPr>
          <w:p w:rsidR="003616B8" w:rsidRPr="00AD6098" w:rsidRDefault="00AD6098" w:rsidP="003616B8">
            <w:pPr>
              <w:rPr>
                <w:lang w:val="en-CA"/>
              </w:rPr>
            </w:pPr>
            <w:r w:rsidRPr="00AD6098">
              <w:rPr>
                <w:lang w:val="en-CA"/>
              </w:rPr>
              <w:t>Unearned (deferred) revenue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  <w:tr w:rsidR="003616B8" w:rsidTr="003616B8">
        <w:tc>
          <w:tcPr>
            <w:tcW w:w="1980" w:type="dxa"/>
            <w:vMerge w:val="restart"/>
          </w:tcPr>
          <w:p w:rsidR="003616B8" w:rsidRDefault="003616B8" w:rsidP="003616B8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Accruals</w:t>
            </w:r>
          </w:p>
        </w:tc>
        <w:tc>
          <w:tcPr>
            <w:tcW w:w="7370" w:type="dxa"/>
          </w:tcPr>
          <w:p w:rsidR="003616B8" w:rsidRPr="00AD6098" w:rsidRDefault="00AD6098" w:rsidP="003616B8">
            <w:pPr>
              <w:rPr>
                <w:lang w:val="en-CA"/>
              </w:rPr>
            </w:pPr>
            <w:r w:rsidRPr="00AD6098">
              <w:rPr>
                <w:lang w:val="en-CA"/>
              </w:rPr>
              <w:t>Accrued expenses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  <w:tr w:rsidR="003616B8" w:rsidTr="003616B8">
        <w:tc>
          <w:tcPr>
            <w:tcW w:w="1980" w:type="dxa"/>
            <w:vMerge/>
          </w:tcPr>
          <w:p w:rsidR="003616B8" w:rsidRDefault="003616B8" w:rsidP="003616B8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7370" w:type="dxa"/>
          </w:tcPr>
          <w:p w:rsidR="003616B8" w:rsidRPr="00AD6098" w:rsidRDefault="00AD6098" w:rsidP="003616B8">
            <w:pPr>
              <w:rPr>
                <w:lang w:val="en-CA"/>
              </w:rPr>
            </w:pPr>
            <w:r w:rsidRPr="00AD6098">
              <w:rPr>
                <w:lang w:val="en-CA"/>
              </w:rPr>
              <w:t>Accrued revenues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  <w:tr w:rsidR="00AD6098" w:rsidTr="003616B8">
        <w:tc>
          <w:tcPr>
            <w:tcW w:w="1980" w:type="dxa"/>
            <w:vMerge w:val="restart"/>
          </w:tcPr>
          <w:p w:rsidR="00AD6098" w:rsidRDefault="00AD6098" w:rsidP="003616B8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Estimated items</w:t>
            </w:r>
          </w:p>
        </w:tc>
        <w:tc>
          <w:tcPr>
            <w:tcW w:w="7370" w:type="dxa"/>
          </w:tcPr>
          <w:p w:rsidR="00AD6098" w:rsidRPr="00AD6098" w:rsidRDefault="00AD6098" w:rsidP="003616B8">
            <w:pPr>
              <w:rPr>
                <w:lang w:val="en-CA"/>
              </w:rPr>
            </w:pPr>
            <w:r w:rsidRPr="00AD6098">
              <w:rPr>
                <w:lang w:val="en-CA"/>
              </w:rPr>
              <w:t>Bad debts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  <w:tr w:rsidR="00AD6098" w:rsidTr="003616B8">
        <w:tc>
          <w:tcPr>
            <w:tcW w:w="1980" w:type="dxa"/>
            <w:vMerge/>
          </w:tcPr>
          <w:p w:rsidR="00AD6098" w:rsidRDefault="00AD6098" w:rsidP="003616B8">
            <w:pPr>
              <w:jc w:val="center"/>
              <w:rPr>
                <w:b/>
                <w:lang w:val="en-CA"/>
              </w:rPr>
            </w:pPr>
          </w:p>
        </w:tc>
        <w:tc>
          <w:tcPr>
            <w:tcW w:w="7370" w:type="dxa"/>
          </w:tcPr>
          <w:p w:rsidR="00AD6098" w:rsidRPr="00AD6098" w:rsidRDefault="00743F3D" w:rsidP="003616B8">
            <w:pPr>
              <w:rPr>
                <w:lang w:val="en-CA"/>
              </w:rPr>
            </w:pPr>
            <w:r>
              <w:rPr>
                <w:lang w:val="en-CA"/>
              </w:rPr>
              <w:t>Fair value adjustments - Fair value through profit or loss (FVTPL) or through OCI</w:t>
            </w:r>
          </w:p>
          <w:p w:rsidR="00AD6098" w:rsidRPr="00AD6098" w:rsidRDefault="00AD6098" w:rsidP="003616B8">
            <w:pPr>
              <w:rPr>
                <w:lang w:val="en-CA"/>
              </w:rPr>
            </w:pPr>
          </w:p>
        </w:tc>
      </w:tr>
    </w:tbl>
    <w:p w:rsidR="007617B6" w:rsidRDefault="007617B6" w:rsidP="003616B8">
      <w:pPr>
        <w:jc w:val="center"/>
        <w:rPr>
          <w:b/>
          <w:lang w:val="en-CA"/>
        </w:rPr>
      </w:pPr>
    </w:p>
    <w:p w:rsidR="00743F3D" w:rsidRDefault="00743F3D">
      <w:pPr>
        <w:rPr>
          <w:b/>
          <w:lang w:val="en-CA"/>
        </w:rPr>
      </w:pPr>
      <w:r>
        <w:rPr>
          <w:b/>
          <w:lang w:val="en-CA"/>
        </w:rPr>
        <w:br w:type="page"/>
      </w:r>
    </w:p>
    <w:p w:rsidR="00743F3D" w:rsidRPr="00743F3D" w:rsidRDefault="00743F3D">
      <w:pPr>
        <w:rPr>
          <w:b/>
          <w:u w:val="single"/>
          <w:lang w:val="en-CA"/>
        </w:rPr>
      </w:pPr>
      <w:r w:rsidRPr="00743F3D">
        <w:rPr>
          <w:b/>
          <w:u w:val="single"/>
          <w:lang w:val="en-CA"/>
        </w:rPr>
        <w:lastRenderedPageBreak/>
        <w:t>Closing entries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 xml:space="preserve">1. Income Summary 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ab/>
      </w:r>
      <w:r w:rsidRPr="00743F3D">
        <w:rPr>
          <w:lang w:val="en-CA"/>
        </w:rPr>
        <w:tab/>
        <w:t>Expense Accounts (individually)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>2. Revenue Accounts (individually)</w:t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ab/>
      </w:r>
      <w:r w:rsidRPr="00743F3D">
        <w:rPr>
          <w:lang w:val="en-CA"/>
        </w:rPr>
        <w:tab/>
        <w:t>Income Summary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>3. Income Summary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ab/>
      </w:r>
      <w:r w:rsidRPr="00743F3D">
        <w:rPr>
          <w:lang w:val="en-CA"/>
        </w:rPr>
        <w:tab/>
        <w:t>Retained Earnings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>4. Retained Earnings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ab/>
      </w:r>
      <w:r w:rsidRPr="00743F3D">
        <w:rPr>
          <w:lang w:val="en-CA"/>
        </w:rPr>
        <w:tab/>
        <w:t>Dividends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>5. OCI Accounts (individually)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743F3D" w:rsidRPr="00743F3D" w:rsidRDefault="00743F3D" w:rsidP="00743F3D">
      <w:pPr>
        <w:rPr>
          <w:lang w:val="en-CA"/>
        </w:rPr>
      </w:pPr>
      <w:r w:rsidRPr="00743F3D">
        <w:rPr>
          <w:lang w:val="en-CA"/>
        </w:rPr>
        <w:tab/>
      </w:r>
      <w:r w:rsidRPr="00743F3D">
        <w:rPr>
          <w:lang w:val="en-CA"/>
        </w:rPr>
        <w:tab/>
        <w:t>Accumulated OCI</w:t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</w:r>
      <w:r w:rsidRPr="00743F3D">
        <w:rPr>
          <w:lang w:val="en-CA"/>
        </w:rPr>
        <w:tab/>
        <w:t>$$$</w:t>
      </w:r>
    </w:p>
    <w:p w:rsidR="008B4EC1" w:rsidRDefault="008B4EC1">
      <w:pPr>
        <w:rPr>
          <w:b/>
          <w:lang w:val="en-CA"/>
        </w:rPr>
      </w:pPr>
    </w:p>
    <w:p w:rsidR="0051374F" w:rsidRDefault="0051374F">
      <w:pPr>
        <w:rPr>
          <w:b/>
          <w:u w:val="single"/>
          <w:lang w:val="en-CA"/>
        </w:rPr>
      </w:pPr>
      <w:r>
        <w:rPr>
          <w:b/>
          <w:u w:val="single"/>
          <w:lang w:val="en-CA"/>
        </w:rPr>
        <w:t>Reversing</w:t>
      </w:r>
      <w:r w:rsidR="008B4EC1" w:rsidRPr="008B4EC1">
        <w:rPr>
          <w:b/>
          <w:u w:val="single"/>
          <w:lang w:val="en-CA"/>
        </w:rPr>
        <w:t xml:space="preserve"> entries</w:t>
      </w:r>
    </w:p>
    <w:p w:rsidR="0051374F" w:rsidRDefault="0051374F">
      <w:pPr>
        <w:rPr>
          <w:lang w:val="en-CA"/>
        </w:rPr>
      </w:pPr>
      <w:r>
        <w:rPr>
          <w:lang w:val="en-CA"/>
        </w:rPr>
        <w:t>-the purpose is to make it easier to record transactions in the next accounting period</w:t>
      </w:r>
    </w:p>
    <w:p w:rsidR="007617B6" w:rsidRPr="008B4EC1" w:rsidRDefault="0051374F" w:rsidP="0051374F">
      <w:pPr>
        <w:jc w:val="both"/>
        <w:rPr>
          <w:b/>
          <w:u w:val="single"/>
          <w:lang w:val="en-CA"/>
        </w:rPr>
      </w:pPr>
      <w:r>
        <w:rPr>
          <w:lang w:val="en-CA"/>
        </w:rPr>
        <w:t>-possible for accrued revenues and accrued expenses, and for prepayments if recorded first as expense or revenue</w:t>
      </w:r>
      <w:r w:rsidR="007617B6" w:rsidRPr="008B4EC1">
        <w:rPr>
          <w:b/>
          <w:u w:val="single"/>
          <w:lang w:val="en-CA"/>
        </w:rPr>
        <w:br w:type="page"/>
      </w:r>
    </w:p>
    <w:p w:rsidR="007617B6" w:rsidRDefault="007617B6">
      <w:pPr>
        <w:rPr>
          <w:b/>
          <w:lang w:val="en-CA"/>
        </w:rPr>
      </w:pPr>
      <w:r>
        <w:rPr>
          <w:noProof/>
        </w:rPr>
        <w:lastRenderedPageBreak/>
        <w:drawing>
          <wp:inline distT="0" distB="0" distL="0" distR="0" wp14:anchorId="5E41F445" wp14:editId="22BF98EC">
            <wp:extent cx="5943600" cy="2819400"/>
            <wp:effectExtent l="0" t="0" r="0" b="0"/>
            <wp:docPr id="4198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989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17B6" w:rsidRDefault="0022258A" w:rsidP="007617B6">
      <w:pPr>
        <w:pStyle w:val="NormalWeb"/>
        <w:spacing w:before="0" w:beforeAutospacing="0" w:after="0" w:afterAutospacing="0" w:line="252" w:lineRule="auto"/>
        <w:jc w:val="right"/>
        <w:textAlignment w:val="baseline"/>
        <w:rPr>
          <w:rFonts w:ascii="Tahoma" w:eastAsiaTheme="minorEastAsia" w:hAnsi="Tahoma" w:cstheme="minorBidi"/>
          <w:i/>
          <w:kern w:val="24"/>
          <w:sz w:val="20"/>
          <w:lang w:val="en-US"/>
        </w:rPr>
      </w:pPr>
      <w:r w:rsidRPr="0022258A">
        <w:rPr>
          <w:rFonts w:ascii="Tahoma" w:eastAsiaTheme="minorEastAsia" w:hAnsi="Tahoma" w:cstheme="minorBidi"/>
          <w:kern w:val="24"/>
          <w:sz w:val="20"/>
          <w:lang w:val="en-US"/>
        </w:rPr>
        <w:t>Financial statements and shareholders’ equity classifications</w:t>
      </w:r>
      <w:r>
        <w:rPr>
          <w:rFonts w:ascii="Tahoma" w:eastAsiaTheme="minorEastAsia" w:hAnsi="Tahoma" w:cstheme="minorBidi"/>
          <w:i/>
          <w:kern w:val="24"/>
          <w:sz w:val="20"/>
          <w:lang w:val="en-US"/>
        </w:rPr>
        <w:t xml:space="preserve"> </w:t>
      </w:r>
      <w:r w:rsidR="007617B6" w:rsidRPr="007617B6">
        <w:rPr>
          <w:rFonts w:ascii="Tahoma" w:eastAsiaTheme="minorEastAsia" w:hAnsi="Tahoma" w:cstheme="minorBidi"/>
          <w:i/>
          <w:kern w:val="24"/>
          <w:sz w:val="20"/>
          <w:lang w:val="en-US"/>
        </w:rPr>
        <w:t>© John Wiley &amp; Sons Canada, Ltd.</w:t>
      </w:r>
    </w:p>
    <w:p w:rsidR="0022258A" w:rsidRDefault="0022258A" w:rsidP="007617B6">
      <w:pPr>
        <w:pStyle w:val="NormalWeb"/>
        <w:spacing w:before="0" w:beforeAutospacing="0" w:after="0" w:afterAutospacing="0" w:line="252" w:lineRule="auto"/>
        <w:jc w:val="right"/>
        <w:textAlignment w:val="baseline"/>
        <w:rPr>
          <w:rFonts w:ascii="Tahoma" w:eastAsiaTheme="minorEastAsia" w:hAnsi="Tahoma" w:cstheme="minorBidi"/>
          <w:i/>
          <w:kern w:val="24"/>
          <w:sz w:val="20"/>
          <w:lang w:val="en-US"/>
        </w:rPr>
      </w:pPr>
    </w:p>
    <w:p w:rsidR="0022258A" w:rsidRPr="0022258A" w:rsidRDefault="0022258A" w:rsidP="0022258A">
      <w:pPr>
        <w:pStyle w:val="NormalWeb"/>
        <w:spacing w:before="0" w:beforeAutospacing="0" w:after="0" w:afterAutospacing="0" w:line="252" w:lineRule="auto"/>
        <w:textAlignment w:val="baseline"/>
        <w:rPr>
          <w:sz w:val="20"/>
        </w:rPr>
      </w:pPr>
    </w:p>
    <w:p w:rsidR="007617B6" w:rsidRPr="00743F3D" w:rsidRDefault="00AC1B92">
      <w:pPr>
        <w:rPr>
          <w:b/>
          <w:u w:val="single"/>
          <w:lang w:val="en-CA"/>
        </w:rPr>
      </w:pPr>
      <w:r w:rsidRPr="00743F3D">
        <w:rPr>
          <w:b/>
          <w:u w:val="single"/>
          <w:lang w:val="en-CA"/>
        </w:rPr>
        <w:t>Equity and Ownership Structure</w:t>
      </w:r>
    </w:p>
    <w:p w:rsidR="00AC1B92" w:rsidRPr="00AC1B92" w:rsidRDefault="00AC1B92">
      <w:pPr>
        <w:rPr>
          <w:lang w:val="en-CA"/>
        </w:rPr>
      </w:pPr>
      <w:r>
        <w:rPr>
          <w:lang w:val="en-CA"/>
        </w:rPr>
        <w:t>-difference between corporations and partnerships/sole proprietorships</w:t>
      </w:r>
    </w:p>
    <w:p w:rsidR="007617B6" w:rsidRDefault="007617B6">
      <w:pPr>
        <w:rPr>
          <w:b/>
          <w:lang w:val="en-CA"/>
        </w:rPr>
      </w:pPr>
      <w:r>
        <w:rPr>
          <w:b/>
          <w:lang w:val="en-CA"/>
        </w:rPr>
        <w:br w:type="page"/>
      </w:r>
    </w:p>
    <w:p w:rsidR="003616B8" w:rsidRPr="001A1CF7" w:rsidRDefault="007617B6" w:rsidP="007617B6">
      <w:pPr>
        <w:rPr>
          <w:rFonts w:ascii="Tahoma" w:hAnsi="Tahoma" w:cs="Tahoma"/>
          <w:b/>
          <w:sz w:val="20"/>
          <w:lang w:val="en-CA"/>
        </w:rPr>
      </w:pPr>
      <w:r w:rsidRPr="001A1CF7">
        <w:rPr>
          <w:rFonts w:ascii="Tahoma" w:hAnsi="Tahoma" w:cs="Tahoma"/>
          <w:b/>
          <w:sz w:val="20"/>
          <w:lang w:val="en-CA"/>
        </w:rPr>
        <w:lastRenderedPageBreak/>
        <w:t>P3-11 (pg. 146)</w:t>
      </w:r>
    </w:p>
    <w:p w:rsidR="007617B6" w:rsidRPr="001A1CF7" w:rsidRDefault="007617B6" w:rsidP="001A1CF7">
      <w:pPr>
        <w:jc w:val="both"/>
        <w:rPr>
          <w:rFonts w:ascii="Tahoma" w:hAnsi="Tahoma" w:cs="Tahoma"/>
          <w:sz w:val="20"/>
          <w:lang w:val="en-CA"/>
        </w:rPr>
      </w:pPr>
      <w:r w:rsidRPr="001A1CF7">
        <w:rPr>
          <w:rFonts w:ascii="Tahoma" w:hAnsi="Tahoma" w:cs="Tahoma"/>
          <w:sz w:val="20"/>
          <w:lang w:val="en-CA"/>
        </w:rPr>
        <w:t>The following information relates to Joachim Anderson, Realtor, at the close of the fiscal year ending</w:t>
      </w:r>
      <w:r w:rsidR="001A1CF7" w:rsidRPr="001A1CF7">
        <w:rPr>
          <w:rFonts w:ascii="Tahoma" w:hAnsi="Tahoma" w:cs="Tahoma"/>
          <w:sz w:val="20"/>
          <w:lang w:val="en-CA"/>
        </w:rPr>
        <w:t xml:space="preserve"> December 31. Prepare the annual adjusting entries as at December 31.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"/>
        <w:gridCol w:w="8855"/>
      </w:tblGrid>
      <w:tr w:rsidR="001A1CF7" w:rsidTr="003C1F50">
        <w:tc>
          <w:tcPr>
            <w:tcW w:w="495" w:type="dxa"/>
          </w:tcPr>
          <w:p w:rsidR="001A1CF7" w:rsidRPr="001A1CF7" w:rsidRDefault="001A1CF7" w:rsidP="007617B6">
            <w:pPr>
              <w:rPr>
                <w:rFonts w:ascii="Tahoma" w:hAnsi="Tahoma" w:cs="Tahoma"/>
                <w:sz w:val="20"/>
                <w:lang w:val="en-CA"/>
              </w:rPr>
            </w:pPr>
            <w:r w:rsidRPr="001A1CF7">
              <w:rPr>
                <w:rFonts w:ascii="Tahoma" w:hAnsi="Tahoma" w:cs="Tahoma"/>
                <w:sz w:val="20"/>
                <w:lang w:val="en-CA"/>
              </w:rPr>
              <w:t>1.</w:t>
            </w:r>
          </w:p>
        </w:tc>
        <w:tc>
          <w:tcPr>
            <w:tcW w:w="8855" w:type="dxa"/>
          </w:tcPr>
          <w:p w:rsidR="001A1CF7" w:rsidRPr="001A1CF7" w:rsidRDefault="001A1CF7" w:rsidP="007617B6">
            <w:pPr>
              <w:rPr>
                <w:rFonts w:ascii="Tahoma" w:hAnsi="Tahoma" w:cs="Tahoma"/>
                <w:sz w:val="20"/>
                <w:lang w:val="en-CA"/>
              </w:rPr>
            </w:pPr>
            <w:r w:rsidRPr="001A1CF7">
              <w:rPr>
                <w:rFonts w:ascii="Tahoma" w:hAnsi="Tahoma" w:cs="Tahoma"/>
                <w:sz w:val="20"/>
                <w:lang w:val="en-CA"/>
              </w:rPr>
              <w:t xml:space="preserve"> Joachim paid the local </w:t>
            </w:r>
            <w:r>
              <w:rPr>
                <w:rFonts w:ascii="Tahoma" w:hAnsi="Tahoma" w:cs="Tahoma"/>
                <w:sz w:val="20"/>
                <w:lang w:val="en-CA"/>
              </w:rPr>
              <w:t>newspaper $335 for an advertisement to be run in January of the next year and charged it to Advertising Expense.</w:t>
            </w:r>
          </w:p>
        </w:tc>
      </w:tr>
      <w:tr w:rsidR="003C1F50" w:rsidTr="005B2E07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1A1CF7" w:rsidTr="003C1F50">
        <w:tc>
          <w:tcPr>
            <w:tcW w:w="49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2.</w:t>
            </w:r>
          </w:p>
        </w:tc>
        <w:tc>
          <w:tcPr>
            <w:tcW w:w="885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November 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Joachim signed a three-month, 10% note to borrow $15,000 from Yorkville Bank.</w:t>
            </w:r>
          </w:p>
        </w:tc>
      </w:tr>
      <w:tr w:rsidR="003C1F50" w:rsidTr="00D94874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1A1CF7" w:rsidTr="003C1F50">
        <w:tc>
          <w:tcPr>
            <w:tcW w:w="49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3.</w:t>
            </w:r>
          </w:p>
        </w:tc>
        <w:tc>
          <w:tcPr>
            <w:tcW w:w="885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The following salaries and wages are due and unpaid at December 31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: sales $1,420; office clerks $ 1,060.</w:t>
            </w:r>
          </w:p>
        </w:tc>
      </w:tr>
      <w:tr w:rsidR="003C1F50" w:rsidTr="00183CBE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1A1CF7" w:rsidTr="003C1F50">
        <w:tc>
          <w:tcPr>
            <w:tcW w:w="49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4.</w:t>
            </w:r>
          </w:p>
        </w:tc>
        <w:tc>
          <w:tcPr>
            <w:tcW w:w="8855" w:type="dxa"/>
          </w:tcPr>
          <w:p w:rsidR="001A1CF7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 xml:space="preserve">Interest of $500 has accrued to date on a note that Joachim holds from Grant </w:t>
            </w:r>
            <w:proofErr w:type="spellStart"/>
            <w:r>
              <w:rPr>
                <w:rFonts w:ascii="Tahoma" w:hAnsi="Tahoma" w:cs="Tahoma"/>
                <w:sz w:val="20"/>
                <w:lang w:val="en-CA"/>
              </w:rPr>
              <w:t>Muldaur</w:t>
            </w:r>
            <w:proofErr w:type="spellEnd"/>
            <w:r>
              <w:rPr>
                <w:rFonts w:ascii="Tahoma" w:hAnsi="Tahoma" w:cs="Tahoma"/>
                <w:sz w:val="20"/>
                <w:lang w:val="en-CA"/>
              </w:rPr>
              <w:t>.</w:t>
            </w:r>
          </w:p>
        </w:tc>
      </w:tr>
      <w:tr w:rsidR="003C1F50" w:rsidTr="006E2A41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5.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The estimated loss on bad debts for the period is $1,560.</w:t>
            </w:r>
          </w:p>
        </w:tc>
      </w:tr>
      <w:tr w:rsidR="003C1F50" w:rsidTr="003F75CD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6.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Stamps and stationery are charged to the Office Expense account when purchased; $110 of these supplies remain on hand.</w:t>
            </w:r>
          </w:p>
        </w:tc>
      </w:tr>
      <w:tr w:rsidR="003C1F50" w:rsidTr="00822CF4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7.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Joachim has not yet paid the December rent of $1,000 on the building his business uses.</w:t>
            </w:r>
          </w:p>
        </w:tc>
      </w:tr>
      <w:tr w:rsidR="003C1F50" w:rsidTr="00DA466D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8.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Insurance was paid on November 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 xml:space="preserve"> for one year and charged to Prepaid Insurance, $1,170.</w:t>
            </w:r>
          </w:p>
        </w:tc>
      </w:tr>
      <w:tr w:rsidR="003C1F50" w:rsidTr="004B2B2B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lastRenderedPageBreak/>
              <w:t>9.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Property tax accrued, $1,670.</w:t>
            </w:r>
          </w:p>
        </w:tc>
      </w:tr>
      <w:tr w:rsidR="003C1F50" w:rsidTr="001B64E5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December 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Joachim accepted Alana Palmer’s two-month, 15% note in settlement of her $6,000 account receivable.</w:t>
            </w:r>
          </w:p>
        </w:tc>
      </w:tr>
      <w:tr w:rsidR="003C1F50" w:rsidTr="00B60119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11.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October 31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 xml:space="preserve">, Joachim received $2,580 from </w:t>
            </w:r>
            <w:proofErr w:type="spellStart"/>
            <w:r>
              <w:rPr>
                <w:rFonts w:ascii="Tahoma" w:hAnsi="Tahoma" w:cs="Tahoma"/>
                <w:sz w:val="20"/>
                <w:lang w:val="en-CA"/>
              </w:rPr>
              <w:t>Tareq</w:t>
            </w:r>
            <w:proofErr w:type="spellEnd"/>
            <w:r>
              <w:rPr>
                <w:rFonts w:ascii="Tahoma" w:hAnsi="Tahoma" w:cs="Tahoma"/>
                <w:sz w:val="20"/>
                <w:lang w:val="en-CA"/>
              </w:rPr>
              <w:t xml:space="preserve"> Giza in payment of six months’ rent for Giza’s office space in the building and credited Unearned Rent Revenue.</w:t>
            </w:r>
          </w:p>
        </w:tc>
      </w:tr>
      <w:tr w:rsidR="003C1F50" w:rsidTr="001B0433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12.</w:t>
            </w:r>
          </w:p>
        </w:tc>
        <w:tc>
          <w:tcPr>
            <w:tcW w:w="8855" w:type="dxa"/>
          </w:tcPr>
          <w:p w:rsidR="003C1F50" w:rsidRPr="001A1CF7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September 1</w:t>
            </w:r>
            <w:r w:rsidRPr="003C1F50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Joachim paid six months’ rent in advance on a warehouse, $8,300, and debited the asset account Prepaid Rent.</w:t>
            </w:r>
          </w:p>
        </w:tc>
      </w:tr>
      <w:tr w:rsidR="003C1F50" w:rsidTr="006B50EB">
        <w:tc>
          <w:tcPr>
            <w:tcW w:w="9350" w:type="dxa"/>
            <w:gridSpan w:val="2"/>
          </w:tcPr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3C1F50" w:rsidRDefault="003C1F50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13.</w:t>
            </w:r>
          </w:p>
        </w:tc>
        <w:tc>
          <w:tcPr>
            <w:tcW w:w="8855" w:type="dxa"/>
          </w:tcPr>
          <w:p w:rsidR="003C1F50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The bill from Light &amp; Power Limited for December has been received but not yet entered or paid, $510.</w:t>
            </w:r>
          </w:p>
        </w:tc>
      </w:tr>
      <w:tr w:rsidR="001E4AAA" w:rsidTr="00DA2CBD">
        <w:tc>
          <w:tcPr>
            <w:tcW w:w="9350" w:type="dxa"/>
            <w:gridSpan w:val="2"/>
          </w:tcPr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3C1F50" w:rsidTr="003C1F50">
        <w:tc>
          <w:tcPr>
            <w:tcW w:w="495" w:type="dxa"/>
          </w:tcPr>
          <w:p w:rsidR="003C1F50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14.</w:t>
            </w:r>
          </w:p>
        </w:tc>
        <w:tc>
          <w:tcPr>
            <w:tcW w:w="8855" w:type="dxa"/>
          </w:tcPr>
          <w:p w:rsidR="003C1F50" w:rsidRPr="001A1CF7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The estimated depreciation on equipment is $1,400.</w:t>
            </w:r>
          </w:p>
        </w:tc>
      </w:tr>
      <w:tr w:rsidR="001E4AAA" w:rsidTr="008772C8">
        <w:tc>
          <w:tcPr>
            <w:tcW w:w="9350" w:type="dxa"/>
            <w:gridSpan w:val="2"/>
          </w:tcPr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1E4AAA" w:rsidRDefault="001E4AAA" w:rsidP="007617B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</w:tbl>
    <w:p w:rsidR="001E4AAA" w:rsidRDefault="001E4AAA" w:rsidP="007617B6">
      <w:pPr>
        <w:rPr>
          <w:lang w:val="en-CA"/>
        </w:rPr>
      </w:pPr>
    </w:p>
    <w:p w:rsidR="001E4AAA" w:rsidRDefault="001E4AAA">
      <w:pPr>
        <w:rPr>
          <w:lang w:val="en-CA"/>
        </w:rPr>
      </w:pPr>
      <w:r>
        <w:rPr>
          <w:lang w:val="en-CA"/>
        </w:rPr>
        <w:br w:type="page"/>
      </w:r>
    </w:p>
    <w:p w:rsidR="001A1CF7" w:rsidRPr="00D52136" w:rsidRDefault="001E4AAA" w:rsidP="007617B6">
      <w:pPr>
        <w:rPr>
          <w:rFonts w:ascii="Tahoma" w:hAnsi="Tahoma" w:cs="Tahoma"/>
          <w:b/>
          <w:sz w:val="20"/>
          <w:lang w:val="en-CA"/>
        </w:rPr>
      </w:pPr>
      <w:r w:rsidRPr="00D52136">
        <w:rPr>
          <w:rFonts w:ascii="Tahoma" w:hAnsi="Tahoma" w:cs="Tahoma"/>
          <w:b/>
          <w:sz w:val="20"/>
          <w:lang w:val="en-CA"/>
        </w:rPr>
        <w:lastRenderedPageBreak/>
        <w:t>P3-15 (pg. 149)</w:t>
      </w:r>
    </w:p>
    <w:p w:rsidR="001E4AAA" w:rsidRPr="00D52136" w:rsidRDefault="001E4AAA" w:rsidP="007617B6">
      <w:pPr>
        <w:rPr>
          <w:rFonts w:ascii="Tahoma" w:hAnsi="Tahoma" w:cs="Tahoma"/>
          <w:sz w:val="20"/>
          <w:lang w:val="en-CA"/>
        </w:rPr>
      </w:pPr>
      <w:r w:rsidRPr="00D52136">
        <w:rPr>
          <w:rFonts w:ascii="Tahoma" w:hAnsi="Tahoma" w:cs="Tahoma"/>
          <w:sz w:val="20"/>
          <w:lang w:val="en-CA"/>
        </w:rPr>
        <w:t xml:space="preserve">The unadjusted trial balance of Imagine Ltd. at December 31, 2014, is as follows. </w:t>
      </w:r>
    </w:p>
    <w:p w:rsidR="008B4EC1" w:rsidRPr="00D52136" w:rsidRDefault="001E4AAA" w:rsidP="008B4EC1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lang w:val="en-CA"/>
        </w:rPr>
      </w:pPr>
      <w:r w:rsidRPr="00D52136">
        <w:rPr>
          <w:rFonts w:ascii="Tahoma" w:hAnsi="Tahoma" w:cs="Tahoma"/>
          <w:sz w:val="20"/>
          <w:lang w:val="en-CA"/>
        </w:rPr>
        <w:t>Based on the trial balance and additional information given, prepare the year-end adjusting and correcting entries. Record the adjusting entry for inventory usin</w:t>
      </w:r>
      <w:r w:rsidR="008B4EC1" w:rsidRPr="00D52136">
        <w:rPr>
          <w:rFonts w:ascii="Tahoma" w:hAnsi="Tahoma" w:cs="Tahoma"/>
          <w:sz w:val="20"/>
          <w:lang w:val="en-CA"/>
        </w:rPr>
        <w:t>g a Cost of Goods Sold account.</w:t>
      </w:r>
    </w:p>
    <w:p w:rsidR="001E4AAA" w:rsidRPr="00D52136" w:rsidRDefault="001E4AAA" w:rsidP="008B4EC1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lang w:val="en-CA"/>
        </w:rPr>
      </w:pPr>
      <w:r w:rsidRPr="00D52136">
        <w:rPr>
          <w:rFonts w:ascii="Tahoma" w:hAnsi="Tahoma" w:cs="Tahoma"/>
          <w:sz w:val="20"/>
          <w:lang w:val="en-CA"/>
        </w:rPr>
        <w:t>Indicate which</w:t>
      </w:r>
      <w:r w:rsidR="0051374F" w:rsidRPr="00D52136">
        <w:rPr>
          <w:rFonts w:ascii="Tahoma" w:hAnsi="Tahoma" w:cs="Tahoma"/>
          <w:sz w:val="20"/>
          <w:lang w:val="en-CA"/>
        </w:rPr>
        <w:t xml:space="preserve"> entries could be reversed.</w:t>
      </w:r>
    </w:p>
    <w:p w:rsidR="00D52136" w:rsidRPr="00D52136" w:rsidRDefault="0051374F" w:rsidP="00D52136">
      <w:pPr>
        <w:pStyle w:val="ListParagraph"/>
        <w:numPr>
          <w:ilvl w:val="0"/>
          <w:numId w:val="2"/>
        </w:numPr>
        <w:rPr>
          <w:rFonts w:ascii="Tahoma" w:hAnsi="Tahoma" w:cs="Tahoma"/>
          <w:sz w:val="20"/>
          <w:lang w:val="en-CA"/>
        </w:rPr>
      </w:pPr>
      <w:r w:rsidRPr="00D52136">
        <w:rPr>
          <w:rFonts w:ascii="Tahoma" w:hAnsi="Tahoma" w:cs="Tahoma"/>
          <w:sz w:val="20"/>
          <w:lang w:val="en-CA"/>
        </w:rPr>
        <w:t>Prepare the statement of financial position at the end of December 31, 2014.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39"/>
        <w:gridCol w:w="1418"/>
        <w:gridCol w:w="1417"/>
        <w:gridCol w:w="2552"/>
      </w:tblGrid>
      <w:tr w:rsidR="00D52136" w:rsidRPr="00D52136" w:rsidTr="00A02E59">
        <w:tc>
          <w:tcPr>
            <w:tcW w:w="3539" w:type="dxa"/>
          </w:tcPr>
          <w:p w:rsidR="00D52136" w:rsidRPr="00A02E59" w:rsidRDefault="00D52136" w:rsidP="00D52136">
            <w:pPr>
              <w:rPr>
                <w:rFonts w:ascii="Tahoma" w:hAnsi="Tahoma" w:cs="Tahoma"/>
                <w:b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D52136" w:rsidRPr="00A02E59" w:rsidRDefault="00D52136" w:rsidP="00A02E59">
            <w:pPr>
              <w:jc w:val="center"/>
              <w:rPr>
                <w:rFonts w:ascii="Tahoma" w:hAnsi="Tahoma" w:cs="Tahoma"/>
                <w:b/>
                <w:sz w:val="20"/>
                <w:lang w:val="en-CA"/>
              </w:rPr>
            </w:pPr>
            <w:r w:rsidRPr="00A02E59">
              <w:rPr>
                <w:rFonts w:ascii="Tahoma" w:hAnsi="Tahoma" w:cs="Tahoma"/>
                <w:b/>
                <w:sz w:val="20"/>
                <w:lang w:val="en-CA"/>
              </w:rPr>
              <w:t>Debit ($)</w:t>
            </w:r>
          </w:p>
        </w:tc>
        <w:tc>
          <w:tcPr>
            <w:tcW w:w="1417" w:type="dxa"/>
          </w:tcPr>
          <w:p w:rsidR="00D52136" w:rsidRPr="00A02E59" w:rsidRDefault="00D52136" w:rsidP="00A02E59">
            <w:pPr>
              <w:jc w:val="center"/>
              <w:rPr>
                <w:rFonts w:ascii="Tahoma" w:hAnsi="Tahoma" w:cs="Tahoma"/>
                <w:b/>
                <w:sz w:val="20"/>
                <w:lang w:val="en-CA"/>
              </w:rPr>
            </w:pPr>
            <w:r w:rsidRPr="00A02E59">
              <w:rPr>
                <w:rFonts w:ascii="Tahoma" w:hAnsi="Tahoma" w:cs="Tahoma"/>
                <w:b/>
                <w:sz w:val="20"/>
                <w:lang w:val="en-CA"/>
              </w:rPr>
              <w:t>Credit ($)</w:t>
            </w:r>
          </w:p>
        </w:tc>
        <w:tc>
          <w:tcPr>
            <w:tcW w:w="2552" w:type="dxa"/>
          </w:tcPr>
          <w:p w:rsidR="00D52136" w:rsidRPr="00A02E59" w:rsidRDefault="00D52136" w:rsidP="00A02E59">
            <w:pPr>
              <w:jc w:val="center"/>
              <w:rPr>
                <w:rFonts w:ascii="Tahoma" w:hAnsi="Tahoma" w:cs="Tahoma"/>
                <w:b/>
                <w:sz w:val="20"/>
                <w:lang w:val="en-CA"/>
              </w:rPr>
            </w:pPr>
            <w:r w:rsidRPr="00A02E59">
              <w:rPr>
                <w:rFonts w:ascii="Tahoma" w:hAnsi="Tahoma" w:cs="Tahoma"/>
                <w:b/>
                <w:sz w:val="20"/>
                <w:lang w:val="en-CA"/>
              </w:rPr>
              <w:t>Adjustment ($)</w:t>
            </w: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 w:rsidRPr="00D52136">
              <w:rPr>
                <w:rFonts w:ascii="Tahoma" w:hAnsi="Tahoma" w:cs="Tahoma"/>
                <w:sz w:val="20"/>
                <w:lang w:val="en-CA"/>
              </w:rPr>
              <w:t>Cash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10,850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Accounts receivable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56,500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Allowance for doubtful accounts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750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FV-NI investments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8,600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Inventory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58,000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Prepaid insurance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2,940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Prepaid rent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13,200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FV-OCI investments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14,000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Bond investment at amortized cost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18,000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Land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Equipment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104,000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Accumulated depreciation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18,000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Accounts payable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9,310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Bonds payable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50,000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Common shares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100,000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Retained earnings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103,260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Sales revenue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223,310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Rent revenue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10,200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Purchases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170,000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Purchase discounts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2,400</w:t>
            </w: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Freight-out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9,000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Freight-in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3,500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Salaries and wages expense</w:t>
            </w: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31,000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Interest expense</w:t>
            </w:r>
          </w:p>
        </w:tc>
        <w:tc>
          <w:tcPr>
            <w:tcW w:w="1418" w:type="dxa"/>
          </w:tcPr>
          <w:p w:rsidR="00D52136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6,750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Miscellaneous expense</w:t>
            </w:r>
          </w:p>
        </w:tc>
        <w:tc>
          <w:tcPr>
            <w:tcW w:w="1418" w:type="dxa"/>
          </w:tcPr>
          <w:p w:rsidR="00D52136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890</w:t>
            </w: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D52136" w:rsidRPr="00D52136" w:rsidTr="00A02E59">
        <w:tc>
          <w:tcPr>
            <w:tcW w:w="3539" w:type="dxa"/>
          </w:tcPr>
          <w:p w:rsidR="00D52136" w:rsidRPr="00D52136" w:rsidRDefault="00D52136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D52136" w:rsidRPr="00D52136" w:rsidRDefault="00D52136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RPr="00D52136" w:rsidTr="00A02E59">
        <w:tc>
          <w:tcPr>
            <w:tcW w:w="3539" w:type="dxa"/>
          </w:tcPr>
          <w:p w:rsidR="00A02E59" w:rsidRPr="00D52136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8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1417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552" w:type="dxa"/>
          </w:tcPr>
          <w:p w:rsidR="00A02E59" w:rsidRPr="00D52136" w:rsidRDefault="00A02E59" w:rsidP="00A02E59">
            <w:pPr>
              <w:jc w:val="right"/>
              <w:rPr>
                <w:rFonts w:ascii="Tahoma" w:hAnsi="Tahoma" w:cs="Tahoma"/>
                <w:sz w:val="20"/>
                <w:lang w:val="en-CA"/>
              </w:rPr>
            </w:pPr>
          </w:p>
        </w:tc>
      </w:tr>
    </w:tbl>
    <w:p w:rsidR="00A02E59" w:rsidRDefault="00A02E59" w:rsidP="00D52136">
      <w:pPr>
        <w:rPr>
          <w:rFonts w:ascii="Tahoma" w:hAnsi="Tahoma" w:cs="Tahoma"/>
          <w:sz w:val="20"/>
          <w:lang w:val="en-CA"/>
        </w:rPr>
      </w:pPr>
    </w:p>
    <w:p w:rsidR="00A02E59" w:rsidRDefault="00A02E59">
      <w:pPr>
        <w:rPr>
          <w:rFonts w:ascii="Tahoma" w:hAnsi="Tahoma" w:cs="Tahoma"/>
          <w:sz w:val="20"/>
          <w:lang w:val="en-CA"/>
        </w:rPr>
      </w:pPr>
      <w:r>
        <w:rPr>
          <w:rFonts w:ascii="Tahoma" w:hAnsi="Tahoma" w:cs="Tahoma"/>
          <w:sz w:val="20"/>
          <w:lang w:val="en-CA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"/>
        <w:gridCol w:w="8855"/>
      </w:tblGrid>
      <w:tr w:rsidR="00A02E59" w:rsidTr="00CE162C">
        <w:tc>
          <w:tcPr>
            <w:tcW w:w="49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lastRenderedPageBreak/>
              <w:t>1.</w:t>
            </w:r>
          </w:p>
        </w:tc>
        <w:tc>
          <w:tcPr>
            <w:tcW w:w="885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November 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2014, Imagine received $10,200 rent from its lessee for a 12-month lease beginning on that date. This was credited to Rent Revenue.</w:t>
            </w:r>
          </w:p>
        </w:tc>
      </w:tr>
      <w:tr w:rsidR="00A02E59" w:rsidTr="00650DE7">
        <w:tc>
          <w:tcPr>
            <w:tcW w:w="9350" w:type="dxa"/>
            <w:gridSpan w:val="2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Tr="00CE162C">
        <w:tc>
          <w:tcPr>
            <w:tcW w:w="49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2.</w:t>
            </w:r>
          </w:p>
        </w:tc>
        <w:tc>
          <w:tcPr>
            <w:tcW w:w="885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Imagine estimates that 7% of the Accounts Receivable balances on December 31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2014, will be uncollectible. On December 28, 2014, the bookkeeper incorrectly credited Sales Revenue for a receipt of $1,000 on account. This error had not yet been corrected on December 31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.</w:t>
            </w:r>
          </w:p>
        </w:tc>
      </w:tr>
      <w:tr w:rsidR="00A02E59" w:rsidTr="00A64E61">
        <w:tc>
          <w:tcPr>
            <w:tcW w:w="9350" w:type="dxa"/>
            <w:gridSpan w:val="2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Tr="00CE162C">
        <w:tc>
          <w:tcPr>
            <w:tcW w:w="49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3.</w:t>
            </w:r>
          </w:p>
        </w:tc>
        <w:tc>
          <w:tcPr>
            <w:tcW w:w="885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After a physical count, inventory on hand at December 31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2014, was $77,000.</w:t>
            </w:r>
          </w:p>
        </w:tc>
      </w:tr>
      <w:tr w:rsidR="00A02E59" w:rsidTr="00496DE7">
        <w:tc>
          <w:tcPr>
            <w:tcW w:w="9350" w:type="dxa"/>
            <w:gridSpan w:val="2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A02E59" w:rsidTr="00CE162C">
        <w:tc>
          <w:tcPr>
            <w:tcW w:w="49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4.</w:t>
            </w:r>
          </w:p>
        </w:tc>
        <w:tc>
          <w:tcPr>
            <w:tcW w:w="8855" w:type="dxa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Prepaid insurance contains the premium costs of two policies: Policy A, cost of $1,320, two-year term, taken out on September 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2014; Policy B, cost of $1,620, three-year term, taken out on April 1</w:t>
            </w:r>
            <w:r w:rsidRPr="00A02E59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2014.</w:t>
            </w:r>
          </w:p>
        </w:tc>
      </w:tr>
      <w:tr w:rsidR="00A02E59" w:rsidTr="000B2D85">
        <w:tc>
          <w:tcPr>
            <w:tcW w:w="9350" w:type="dxa"/>
            <w:gridSpan w:val="2"/>
          </w:tcPr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A02E59" w:rsidRDefault="00A02E59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5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5.</w:t>
            </w:r>
          </w:p>
        </w:tc>
        <w:tc>
          <w:tcPr>
            <w:tcW w:w="885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The regular rate of depreciation is 10% of cost per year. Acquisitions and retirements during the year are depreciated at half this rate. There were no retirements during the year. On December 31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2013, the balance of Equipment was $90,000.</w:t>
            </w:r>
          </w:p>
        </w:tc>
      </w:tr>
      <w:tr w:rsidR="00CE162C" w:rsidTr="00ED5E93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1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6.</w:t>
            </w:r>
          </w:p>
        </w:tc>
        <w:tc>
          <w:tcPr>
            <w:tcW w:w="885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April 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 xml:space="preserve">, 2014, Imagine issued at par value 50 $1,000, 11% bonds maturing on April 1, 2017. </w:t>
            </w:r>
            <w:r>
              <w:rPr>
                <w:rFonts w:ascii="Tahoma" w:hAnsi="Tahoma" w:cs="Tahoma"/>
                <w:sz w:val="20"/>
                <w:lang w:val="en-CA"/>
              </w:rPr>
              <w:lastRenderedPageBreak/>
              <w:t>Interest is paid on April 1, and October 1.</w:t>
            </w:r>
          </w:p>
        </w:tc>
      </w:tr>
      <w:tr w:rsidR="00CE162C" w:rsidTr="00433780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1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7.</w:t>
            </w:r>
          </w:p>
        </w:tc>
        <w:tc>
          <w:tcPr>
            <w:tcW w:w="885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August 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2014, Imagine purchased at par value 18 $1,000, 12% Legume Inc. bonds, maturing on July 31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2016. Interest is paid on July 31 and January 31.</w:t>
            </w:r>
          </w:p>
        </w:tc>
      </w:tr>
      <w:tr w:rsidR="00CE162C" w:rsidTr="002E50B4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1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8.</w:t>
            </w:r>
          </w:p>
        </w:tc>
        <w:tc>
          <w:tcPr>
            <w:tcW w:w="885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On May 30, 2014, Imagine rented a warehouse for $1,100 per month and debited Prepaid Rent for an advance payment of $13,200.</w:t>
            </w:r>
          </w:p>
        </w:tc>
      </w:tr>
      <w:tr w:rsidR="00CE162C" w:rsidTr="00387164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1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9.</w:t>
            </w:r>
          </w:p>
        </w:tc>
        <w:tc>
          <w:tcPr>
            <w:tcW w:w="8855" w:type="dxa"/>
          </w:tcPr>
          <w:p w:rsidR="00CE162C" w:rsidRDefault="00CE162C" w:rsidP="00CE162C">
            <w:pPr>
              <w:rPr>
                <w:rFonts w:ascii="Tahoma" w:hAnsi="Tahoma" w:cs="Tahoma"/>
                <w:sz w:val="20"/>
                <w:lang w:val="en-CA"/>
              </w:rPr>
            </w:pPr>
            <w:proofErr w:type="spellStart"/>
            <w:r>
              <w:rPr>
                <w:rFonts w:ascii="Tahoma" w:hAnsi="Tahoma" w:cs="Tahoma"/>
                <w:sz w:val="20"/>
                <w:lang w:val="en-CA"/>
              </w:rPr>
              <w:t>Imagine’s</w:t>
            </w:r>
            <w:proofErr w:type="spellEnd"/>
            <w:r>
              <w:rPr>
                <w:rFonts w:ascii="Tahoma" w:hAnsi="Tahoma" w:cs="Tahoma"/>
                <w:sz w:val="20"/>
                <w:lang w:val="en-CA"/>
              </w:rPr>
              <w:t xml:space="preserve"> FV-NI investments consist of shares with total market value of $9,400 as of December 31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2014.</w:t>
            </w:r>
          </w:p>
        </w:tc>
      </w:tr>
      <w:tr w:rsidR="00CE162C" w:rsidTr="0059731A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CE162C" w:rsidTr="00CE162C">
        <w:trPr>
          <w:trHeight w:val="191"/>
        </w:trPr>
        <w:tc>
          <w:tcPr>
            <w:tcW w:w="49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10.</w:t>
            </w:r>
          </w:p>
        </w:tc>
        <w:tc>
          <w:tcPr>
            <w:tcW w:w="8855" w:type="dxa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 xml:space="preserve">The FV-OCI investment is an investment of 500 shares in </w:t>
            </w:r>
            <w:proofErr w:type="spellStart"/>
            <w:r>
              <w:rPr>
                <w:rFonts w:ascii="Tahoma" w:hAnsi="Tahoma" w:cs="Tahoma"/>
                <w:sz w:val="20"/>
                <w:lang w:val="en-CA"/>
              </w:rPr>
              <w:t>Yop</w:t>
            </w:r>
            <w:proofErr w:type="spellEnd"/>
            <w:r>
              <w:rPr>
                <w:rFonts w:ascii="Tahoma" w:hAnsi="Tahoma" w:cs="Tahoma"/>
                <w:sz w:val="20"/>
                <w:lang w:val="en-CA"/>
              </w:rPr>
              <w:t xml:space="preserve"> Inc., with current market value of $25 per share as of December 31</w:t>
            </w:r>
            <w:r w:rsidRPr="00CE162C">
              <w:rPr>
                <w:rFonts w:ascii="Tahoma" w:hAnsi="Tahoma" w:cs="Tahoma"/>
                <w:sz w:val="20"/>
                <w:vertAlign w:val="superscript"/>
                <w:lang w:val="en-CA"/>
              </w:rPr>
              <w:t>st</w:t>
            </w:r>
            <w:r>
              <w:rPr>
                <w:rFonts w:ascii="Tahoma" w:hAnsi="Tahoma" w:cs="Tahoma"/>
                <w:sz w:val="20"/>
                <w:lang w:val="en-CA"/>
              </w:rPr>
              <w:t>, 2014.</w:t>
            </w:r>
          </w:p>
        </w:tc>
      </w:tr>
      <w:tr w:rsidR="00CE162C" w:rsidTr="007D171D">
        <w:trPr>
          <w:trHeight w:val="191"/>
        </w:trPr>
        <w:tc>
          <w:tcPr>
            <w:tcW w:w="9350" w:type="dxa"/>
            <w:gridSpan w:val="2"/>
          </w:tcPr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CE162C" w:rsidRDefault="00CE162C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</w:tbl>
    <w:p w:rsidR="00A02E59" w:rsidRDefault="00A02E59" w:rsidP="00D52136">
      <w:pPr>
        <w:rPr>
          <w:rFonts w:ascii="Tahoma" w:hAnsi="Tahoma" w:cs="Tahoma"/>
          <w:sz w:val="20"/>
          <w:lang w:val="en-CA"/>
        </w:rPr>
      </w:pPr>
    </w:p>
    <w:p w:rsidR="00536E93" w:rsidRDefault="00536E93" w:rsidP="00D52136">
      <w:pPr>
        <w:rPr>
          <w:rFonts w:ascii="Tahoma" w:hAnsi="Tahoma" w:cs="Tahoma"/>
          <w:sz w:val="20"/>
          <w:lang w:val="en-CA"/>
        </w:rPr>
      </w:pPr>
      <w:r>
        <w:rPr>
          <w:rFonts w:ascii="Tahoma" w:hAnsi="Tahoma" w:cs="Tahoma"/>
          <w:sz w:val="20"/>
          <w:lang w:val="en-CA"/>
        </w:rPr>
        <w:t xml:space="preserve">Closing </w:t>
      </w:r>
      <w:r w:rsidR="00525BE7">
        <w:rPr>
          <w:rFonts w:ascii="Tahoma" w:hAnsi="Tahoma" w:cs="Tahoma"/>
          <w:sz w:val="20"/>
          <w:lang w:val="en-CA"/>
        </w:rPr>
        <w:t>the accounts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2127"/>
        <w:gridCol w:w="283"/>
        <w:gridCol w:w="2410"/>
        <w:gridCol w:w="2267"/>
      </w:tblGrid>
      <w:tr w:rsidR="006F657F" w:rsidTr="006F657F">
        <w:tc>
          <w:tcPr>
            <w:tcW w:w="4390" w:type="dxa"/>
            <w:gridSpan w:val="2"/>
            <w:tcBorders>
              <w:top w:val="nil"/>
              <w:left w:val="nil"/>
              <w:right w:val="nil"/>
            </w:tcBorders>
          </w:tcPr>
          <w:p w:rsidR="006F657F" w:rsidRDefault="006F657F" w:rsidP="006F657F">
            <w:pPr>
              <w:jc w:val="center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Income Summary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right w:val="nil"/>
            </w:tcBorders>
          </w:tcPr>
          <w:p w:rsidR="006F657F" w:rsidRDefault="006F657F" w:rsidP="006F657F">
            <w:pPr>
              <w:jc w:val="center"/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Accumulated OCI</w:t>
            </w:r>
          </w:p>
        </w:tc>
      </w:tr>
      <w:tr w:rsidR="006F657F" w:rsidTr="006F657F">
        <w:tc>
          <w:tcPr>
            <w:tcW w:w="2263" w:type="dxa"/>
            <w:tcBorders>
              <w:lef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127" w:type="dxa"/>
            <w:tcBorders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267" w:type="dxa"/>
            <w:tcBorders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6F657F" w:rsidTr="006F657F">
        <w:tc>
          <w:tcPr>
            <w:tcW w:w="2263" w:type="dxa"/>
            <w:tcBorders>
              <w:lef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127" w:type="dxa"/>
            <w:tcBorders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410" w:type="dxa"/>
            <w:tcBorders>
              <w:lef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2267" w:type="dxa"/>
            <w:tcBorders>
              <w:right w:val="nil"/>
            </w:tcBorders>
          </w:tcPr>
          <w:p w:rsidR="006F657F" w:rsidRDefault="006F657F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</w:tbl>
    <w:p w:rsidR="00536E93" w:rsidRDefault="006D0CF1" w:rsidP="00D52136">
      <w:pPr>
        <w:rPr>
          <w:rFonts w:ascii="Tahoma" w:hAnsi="Tahoma" w:cs="Tahoma"/>
          <w:sz w:val="20"/>
          <w:lang w:val="en-CA"/>
        </w:rPr>
      </w:pPr>
      <w:r>
        <w:rPr>
          <w:rFonts w:ascii="Tahoma" w:hAnsi="Tahoma" w:cs="Tahoma"/>
          <w:sz w:val="20"/>
          <w:lang w:val="en-CA"/>
        </w:rPr>
        <w:t>Statement of Financial Position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819"/>
      </w:tblGrid>
      <w:tr w:rsidR="006D0CF1" w:rsidTr="00944124">
        <w:tc>
          <w:tcPr>
            <w:tcW w:w="4531" w:type="dxa"/>
          </w:tcPr>
          <w:p w:rsidR="006D0CF1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lastRenderedPageBreak/>
              <w:t>Assets</w:t>
            </w:r>
          </w:p>
        </w:tc>
        <w:tc>
          <w:tcPr>
            <w:tcW w:w="4819" w:type="dxa"/>
          </w:tcPr>
          <w:p w:rsidR="006D0CF1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Liabilities</w:t>
            </w:r>
          </w:p>
        </w:tc>
      </w:tr>
      <w:tr w:rsidR="00944124" w:rsidTr="00944124">
        <w:trPr>
          <w:trHeight w:val="2708"/>
        </w:trPr>
        <w:tc>
          <w:tcPr>
            <w:tcW w:w="4531" w:type="dxa"/>
            <w:vMerge w:val="restart"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4819" w:type="dxa"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944124" w:rsidTr="00944124">
        <w:tc>
          <w:tcPr>
            <w:tcW w:w="4531" w:type="dxa"/>
            <w:vMerge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4819" w:type="dxa"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  <w:r>
              <w:rPr>
                <w:rFonts w:ascii="Tahoma" w:hAnsi="Tahoma" w:cs="Tahoma"/>
                <w:sz w:val="20"/>
                <w:lang w:val="en-CA"/>
              </w:rPr>
              <w:t>Shareholders’ equity</w:t>
            </w:r>
          </w:p>
        </w:tc>
      </w:tr>
      <w:tr w:rsidR="00944124" w:rsidTr="00944124">
        <w:tc>
          <w:tcPr>
            <w:tcW w:w="4531" w:type="dxa"/>
            <w:vMerge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  <w:tc>
          <w:tcPr>
            <w:tcW w:w="4819" w:type="dxa"/>
          </w:tcPr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  <w:p w:rsidR="00944124" w:rsidRDefault="00944124" w:rsidP="00D52136">
            <w:pPr>
              <w:rPr>
                <w:rFonts w:ascii="Tahoma" w:hAnsi="Tahoma" w:cs="Tahoma"/>
                <w:sz w:val="20"/>
                <w:lang w:val="en-CA"/>
              </w:rPr>
            </w:pPr>
          </w:p>
        </w:tc>
      </w:tr>
      <w:tr w:rsidR="006D0CF1" w:rsidTr="00944124">
        <w:tc>
          <w:tcPr>
            <w:tcW w:w="4531" w:type="dxa"/>
          </w:tcPr>
          <w:p w:rsidR="006D0CF1" w:rsidRPr="00944124" w:rsidRDefault="00944124" w:rsidP="00D52136">
            <w:pPr>
              <w:rPr>
                <w:rFonts w:ascii="Tahoma" w:hAnsi="Tahoma" w:cs="Tahoma"/>
                <w:b/>
                <w:sz w:val="20"/>
                <w:lang w:val="en-CA"/>
              </w:rPr>
            </w:pPr>
            <w:r w:rsidRPr="00944124">
              <w:rPr>
                <w:rFonts w:ascii="Tahoma" w:hAnsi="Tahoma" w:cs="Tahoma"/>
                <w:b/>
                <w:sz w:val="20"/>
                <w:lang w:val="en-CA"/>
              </w:rPr>
              <w:t>Total assets</w:t>
            </w:r>
          </w:p>
        </w:tc>
        <w:tc>
          <w:tcPr>
            <w:tcW w:w="4819" w:type="dxa"/>
          </w:tcPr>
          <w:p w:rsidR="00944124" w:rsidRDefault="00944124" w:rsidP="00D52136">
            <w:pPr>
              <w:rPr>
                <w:rFonts w:ascii="Tahoma" w:hAnsi="Tahoma" w:cs="Tahoma"/>
                <w:b/>
                <w:sz w:val="20"/>
                <w:lang w:val="en-CA"/>
              </w:rPr>
            </w:pPr>
            <w:r w:rsidRPr="00944124">
              <w:rPr>
                <w:rFonts w:ascii="Tahoma" w:hAnsi="Tahoma" w:cs="Tahoma"/>
                <w:b/>
                <w:sz w:val="20"/>
                <w:lang w:val="en-CA"/>
              </w:rPr>
              <w:t xml:space="preserve">Total liabilities and </w:t>
            </w:r>
          </w:p>
          <w:p w:rsidR="006D0CF1" w:rsidRPr="00944124" w:rsidRDefault="00944124" w:rsidP="00D52136">
            <w:pPr>
              <w:rPr>
                <w:rFonts w:ascii="Tahoma" w:hAnsi="Tahoma" w:cs="Tahoma"/>
                <w:b/>
                <w:sz w:val="20"/>
                <w:lang w:val="en-CA"/>
              </w:rPr>
            </w:pPr>
            <w:r w:rsidRPr="00944124">
              <w:rPr>
                <w:rFonts w:ascii="Tahoma" w:hAnsi="Tahoma" w:cs="Tahoma"/>
                <w:b/>
                <w:sz w:val="20"/>
                <w:lang w:val="en-CA"/>
              </w:rPr>
              <w:t>shareholders’ equity</w:t>
            </w:r>
          </w:p>
        </w:tc>
      </w:tr>
    </w:tbl>
    <w:p w:rsidR="006F657F" w:rsidRDefault="006F657F" w:rsidP="00D52136">
      <w:pPr>
        <w:rPr>
          <w:rFonts w:ascii="Tahoma" w:hAnsi="Tahoma" w:cs="Tahoma"/>
          <w:sz w:val="20"/>
          <w:lang w:val="en-CA"/>
        </w:rPr>
      </w:pPr>
    </w:p>
    <w:p w:rsidR="006D0CF1" w:rsidRPr="00D52136" w:rsidRDefault="006D0CF1" w:rsidP="00D52136">
      <w:pPr>
        <w:rPr>
          <w:rFonts w:ascii="Tahoma" w:hAnsi="Tahoma" w:cs="Tahoma"/>
          <w:sz w:val="20"/>
          <w:lang w:val="en-CA"/>
        </w:rPr>
      </w:pPr>
    </w:p>
    <w:sectPr w:rsidR="006D0CF1" w:rsidRPr="00D5213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5EDF" w:rsidRDefault="00755EDF" w:rsidP="003616B8">
      <w:pPr>
        <w:spacing w:after="0" w:line="240" w:lineRule="auto"/>
      </w:pPr>
      <w:r>
        <w:separator/>
      </w:r>
    </w:p>
  </w:endnote>
  <w:endnote w:type="continuationSeparator" w:id="0">
    <w:p w:rsidR="00755EDF" w:rsidRDefault="00755EDF" w:rsidP="00361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5538903"/>
      <w:docPartObj>
        <w:docPartGallery w:val="Page Numbers (Bottom of Page)"/>
        <w:docPartUnique/>
      </w:docPartObj>
    </w:sdtPr>
    <w:sdtEndPr>
      <w:rPr>
        <w:noProof/>
        <w:sz w:val="20"/>
      </w:rPr>
    </w:sdtEndPr>
    <w:sdtContent>
      <w:p w:rsidR="00A02E59" w:rsidRPr="00A02E59" w:rsidRDefault="00A02E59">
        <w:pPr>
          <w:pStyle w:val="Footer"/>
          <w:jc w:val="center"/>
          <w:rPr>
            <w:sz w:val="20"/>
          </w:rPr>
        </w:pPr>
        <w:r w:rsidRPr="00A02E59">
          <w:rPr>
            <w:sz w:val="20"/>
          </w:rPr>
          <w:fldChar w:fldCharType="begin"/>
        </w:r>
        <w:r w:rsidRPr="00A02E59">
          <w:rPr>
            <w:sz w:val="20"/>
          </w:rPr>
          <w:instrText xml:space="preserve"> PAGE   \* MERGEFORMAT </w:instrText>
        </w:r>
        <w:r w:rsidRPr="00A02E59">
          <w:rPr>
            <w:sz w:val="20"/>
          </w:rPr>
          <w:fldChar w:fldCharType="separate"/>
        </w:r>
        <w:r w:rsidR="00D55725">
          <w:rPr>
            <w:noProof/>
            <w:sz w:val="20"/>
          </w:rPr>
          <w:t>9</w:t>
        </w:r>
        <w:r w:rsidRPr="00A02E59">
          <w:rPr>
            <w:noProof/>
            <w:sz w:val="20"/>
          </w:rPr>
          <w:fldChar w:fldCharType="end"/>
        </w:r>
      </w:p>
    </w:sdtContent>
  </w:sdt>
  <w:p w:rsidR="00A02E59" w:rsidRDefault="00A02E59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5EDF" w:rsidRDefault="00755EDF" w:rsidP="003616B8">
      <w:pPr>
        <w:spacing w:after="0" w:line="240" w:lineRule="auto"/>
      </w:pPr>
      <w:r>
        <w:separator/>
      </w:r>
    </w:p>
  </w:footnote>
  <w:footnote w:type="continuationSeparator" w:id="0">
    <w:p w:rsidR="00755EDF" w:rsidRDefault="00755EDF" w:rsidP="00361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6B8" w:rsidRPr="003616B8" w:rsidRDefault="003616B8" w:rsidP="003616B8">
    <w:pPr>
      <w:pStyle w:val="Header"/>
      <w:jc w:val="right"/>
      <w:rPr>
        <w:rFonts w:ascii="Tahoma" w:hAnsi="Tahoma" w:cs="Tahoma"/>
        <w:sz w:val="20"/>
        <w:lang w:val="en-CA"/>
      </w:rPr>
    </w:pPr>
    <w:r w:rsidRPr="003616B8">
      <w:rPr>
        <w:rFonts w:ascii="Tahoma" w:hAnsi="Tahoma" w:cs="Tahoma"/>
        <w:sz w:val="20"/>
        <w:lang w:val="en-CA"/>
      </w:rPr>
      <w:t>ACCO 310 Financial Reporting I</w:t>
    </w:r>
  </w:p>
  <w:p w:rsidR="003616B8" w:rsidRPr="003616B8" w:rsidRDefault="008B39D6" w:rsidP="003616B8">
    <w:pPr>
      <w:pStyle w:val="Header"/>
      <w:jc w:val="right"/>
      <w:rPr>
        <w:rFonts w:ascii="Tahoma" w:hAnsi="Tahoma" w:cs="Tahoma"/>
        <w:sz w:val="20"/>
        <w:lang w:val="en-CA"/>
      </w:rPr>
    </w:pPr>
    <w:r>
      <w:rPr>
        <w:rFonts w:ascii="Tahoma" w:hAnsi="Tahoma" w:cs="Tahoma"/>
        <w:sz w:val="20"/>
        <w:lang w:val="en-CA"/>
      </w:rPr>
      <w:t>Section D</w:t>
    </w:r>
    <w:r w:rsidR="00453C1E">
      <w:rPr>
        <w:rFonts w:ascii="Tahoma" w:hAnsi="Tahoma" w:cs="Tahoma"/>
        <w:sz w:val="20"/>
        <w:lang w:val="en-CA"/>
      </w:rPr>
      <w:t xml:space="preserve">, </w:t>
    </w:r>
    <w:r w:rsidR="003616B8" w:rsidRPr="003616B8">
      <w:rPr>
        <w:rFonts w:ascii="Tahoma" w:hAnsi="Tahoma" w:cs="Tahoma"/>
        <w:sz w:val="20"/>
        <w:lang w:val="en-CA"/>
      </w:rPr>
      <w:t>Rucsandra Moldovan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395D39"/>
    <w:multiLevelType w:val="hybridMultilevel"/>
    <w:tmpl w:val="FBCEA162"/>
    <w:lvl w:ilvl="0" w:tplc="F67A38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E8664E"/>
    <w:multiLevelType w:val="hybridMultilevel"/>
    <w:tmpl w:val="556C74BE"/>
    <w:lvl w:ilvl="0" w:tplc="9060476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6B8"/>
    <w:rsid w:val="001A1CF7"/>
    <w:rsid w:val="001E4AAA"/>
    <w:rsid w:val="0022258A"/>
    <w:rsid w:val="002355FA"/>
    <w:rsid w:val="003616B8"/>
    <w:rsid w:val="003C1F50"/>
    <w:rsid w:val="00453C1E"/>
    <w:rsid w:val="0051374F"/>
    <w:rsid w:val="00525BE7"/>
    <w:rsid w:val="00536E93"/>
    <w:rsid w:val="006D0CF1"/>
    <w:rsid w:val="006F657F"/>
    <w:rsid w:val="00743F3D"/>
    <w:rsid w:val="00755EDF"/>
    <w:rsid w:val="007617B6"/>
    <w:rsid w:val="008B39D6"/>
    <w:rsid w:val="008B4EC1"/>
    <w:rsid w:val="00944124"/>
    <w:rsid w:val="00A02E59"/>
    <w:rsid w:val="00A54433"/>
    <w:rsid w:val="00AC1B92"/>
    <w:rsid w:val="00AD6098"/>
    <w:rsid w:val="00B24FB9"/>
    <w:rsid w:val="00CE162C"/>
    <w:rsid w:val="00D52136"/>
    <w:rsid w:val="00D55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6B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6B8"/>
    <w:rPr>
      <w:lang w:val="en-US"/>
    </w:rPr>
  </w:style>
  <w:style w:type="table" w:styleId="TableGrid">
    <w:name w:val="Table Grid"/>
    <w:basedOn w:val="TableNormal"/>
    <w:uiPriority w:val="39"/>
    <w:rsid w:val="00361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61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ListParagraph">
    <w:name w:val="List Paragraph"/>
    <w:basedOn w:val="Normal"/>
    <w:uiPriority w:val="34"/>
    <w:qFormat/>
    <w:rsid w:val="001A1CF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616B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61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616B8"/>
    <w:rPr>
      <w:lang w:val="en-US"/>
    </w:rPr>
  </w:style>
  <w:style w:type="table" w:styleId="TableGrid">
    <w:name w:val="Table Grid"/>
    <w:basedOn w:val="TableNormal"/>
    <w:uiPriority w:val="39"/>
    <w:rsid w:val="003616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7617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ListParagraph">
    <w:name w:val="List Paragraph"/>
    <w:basedOn w:val="Normal"/>
    <w:uiPriority w:val="34"/>
    <w:qFormat/>
    <w:rsid w:val="001A1C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937</Words>
  <Characters>5343</Characters>
  <Application>Microsoft Macintosh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Rucsandra Moldovan</dc:creator>
  <cp:keywords/>
  <dc:description/>
  <cp:lastModifiedBy>Cyrille Mae Ancanan</cp:lastModifiedBy>
  <cp:revision>2</cp:revision>
  <dcterms:created xsi:type="dcterms:W3CDTF">2015-09-14T01:00:00Z</dcterms:created>
  <dcterms:modified xsi:type="dcterms:W3CDTF">2015-09-14T01:00:00Z</dcterms:modified>
</cp:coreProperties>
</file>